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DD" w:rsidRDefault="004415DD" w:rsidP="004415DD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  <w:r w:rsidRPr="004415DD">
        <w:rPr>
          <w:rFonts w:ascii="黑体" w:eastAsia="黑体" w:hAnsi="黑体" w:hint="eastAsia"/>
          <w:sz w:val="28"/>
          <w:szCs w:val="28"/>
        </w:rPr>
        <w:t>附件1</w:t>
      </w:r>
      <w:r w:rsidRPr="004415DD">
        <w:rPr>
          <w:rFonts w:ascii="黑体" w:eastAsia="黑体" w:hAnsi="黑体"/>
          <w:sz w:val="28"/>
          <w:szCs w:val="28"/>
        </w:rPr>
        <w:t xml:space="preserve"> </w:t>
      </w:r>
    </w:p>
    <w:p w:rsidR="004415DD" w:rsidRPr="004415DD" w:rsidRDefault="004415DD" w:rsidP="004415DD">
      <w:pPr>
        <w:ind w:firstLineChars="200" w:firstLine="560"/>
        <w:rPr>
          <w:rFonts w:ascii="黑体" w:eastAsia="黑体" w:hAnsi="黑体"/>
          <w:sz w:val="28"/>
          <w:szCs w:val="28"/>
        </w:rPr>
      </w:pPr>
      <w:r w:rsidRPr="004415DD">
        <w:rPr>
          <w:rFonts w:ascii="黑体" w:eastAsia="黑体" w:hAnsi="黑体" w:hint="eastAsia"/>
          <w:sz w:val="28"/>
          <w:szCs w:val="28"/>
        </w:rPr>
        <w:t>西江流域中外文化交流研究中心</w:t>
      </w:r>
      <w:r w:rsidRPr="004415DD">
        <w:rPr>
          <w:rFonts w:ascii="黑体" w:eastAsia="黑体" w:hAnsi="黑体"/>
          <w:sz w:val="28"/>
          <w:szCs w:val="28"/>
        </w:rPr>
        <w:t>2023年研究选题征集表</w:t>
      </w:r>
    </w:p>
    <w:p w:rsidR="004415DD" w:rsidRDefault="004415DD" w:rsidP="004415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单位名称：（盖章）</w:t>
      </w:r>
    </w:p>
    <w:tbl>
      <w:tblPr>
        <w:tblStyle w:val="a7"/>
        <w:tblW w:w="8777" w:type="dxa"/>
        <w:tblInd w:w="-113" w:type="dxa"/>
        <w:tblLook w:val="04A0" w:firstRow="1" w:lastRow="0" w:firstColumn="1" w:lastColumn="0" w:noHBand="0" w:noVBand="1"/>
      </w:tblPr>
      <w:tblGrid>
        <w:gridCol w:w="1591"/>
        <w:gridCol w:w="739"/>
        <w:gridCol w:w="2812"/>
        <w:gridCol w:w="3635"/>
      </w:tblGrid>
      <w:tr w:rsidR="004415DD" w:rsidTr="00AF380F">
        <w:trPr>
          <w:trHeight w:val="991"/>
        </w:trPr>
        <w:tc>
          <w:tcPr>
            <w:tcW w:w="1591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研究领域</w:t>
            </w: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选题名称</w:t>
            </w: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选题必要性、可行性（3</w:t>
            </w:r>
            <w:r>
              <w:t>00</w:t>
            </w:r>
            <w:r>
              <w:rPr>
                <w:rFonts w:hint="eastAsia"/>
              </w:rPr>
              <w:t>-500字）</w:t>
            </w:r>
          </w:p>
        </w:tc>
      </w:tr>
      <w:tr w:rsidR="004415DD" w:rsidTr="00AF380F">
        <w:trPr>
          <w:trHeight w:val="747"/>
        </w:trPr>
        <w:tc>
          <w:tcPr>
            <w:tcW w:w="1591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广府文化探源与传播</w:t>
            </w: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825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803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71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92"/>
        </w:trPr>
        <w:tc>
          <w:tcPr>
            <w:tcW w:w="1591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中外文化交流</w:t>
            </w:r>
            <w:proofErr w:type="gramStart"/>
            <w:r>
              <w:rPr>
                <w:rFonts w:hint="eastAsia"/>
                <w:b/>
                <w:bCs/>
              </w:rPr>
              <w:t>与互鉴</w:t>
            </w:r>
            <w:proofErr w:type="gramEnd"/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825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36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48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858"/>
        </w:trPr>
        <w:tc>
          <w:tcPr>
            <w:tcW w:w="1591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  <w:b/>
                <w:bCs/>
              </w:rPr>
              <w:t>文化数字化与数据库建设</w:t>
            </w: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70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819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rPr>
          <w:trHeight w:val="773"/>
        </w:trPr>
        <w:tc>
          <w:tcPr>
            <w:tcW w:w="1591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39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12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635" w:type="dxa"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</w:tbl>
    <w:p w:rsidR="004415DD" w:rsidRDefault="004415DD" w:rsidP="00DA4438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</w:p>
    <w:p w:rsidR="004415DD" w:rsidRDefault="004415DD" w:rsidP="004415DD">
      <w:pPr>
        <w:ind w:firstLineChars="200" w:firstLine="640"/>
        <w:jc w:val="center"/>
        <w:rPr>
          <w:rFonts w:ascii="仿宋_GB2312" w:eastAsia="仿宋_GB2312" w:hAnsi="华文中宋"/>
          <w:sz w:val="32"/>
          <w:szCs w:val="32"/>
        </w:rPr>
      </w:pPr>
    </w:p>
    <w:p w:rsidR="004415DD" w:rsidRDefault="004415DD" w:rsidP="004415DD">
      <w:pPr>
        <w:ind w:firstLineChars="200" w:firstLine="640"/>
        <w:jc w:val="center"/>
        <w:rPr>
          <w:rFonts w:ascii="仿宋_GB2312" w:eastAsia="仿宋_GB2312" w:hAnsi="华文中宋"/>
          <w:sz w:val="32"/>
          <w:szCs w:val="32"/>
        </w:rPr>
      </w:pPr>
    </w:p>
    <w:p w:rsidR="004415DD" w:rsidRDefault="004415DD" w:rsidP="004415DD">
      <w:pPr>
        <w:jc w:val="left"/>
        <w:rPr>
          <w:rFonts w:ascii="黑体" w:eastAsia="黑体" w:hAnsi="黑体"/>
          <w:sz w:val="28"/>
          <w:szCs w:val="28"/>
        </w:rPr>
      </w:pPr>
      <w:r w:rsidRPr="004415DD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/>
          <w:sz w:val="28"/>
          <w:szCs w:val="28"/>
        </w:rPr>
        <w:t>2</w:t>
      </w:r>
      <w:r w:rsidRPr="004415DD">
        <w:rPr>
          <w:rFonts w:ascii="黑体" w:eastAsia="黑体" w:hAnsi="黑体"/>
          <w:sz w:val="28"/>
          <w:szCs w:val="28"/>
        </w:rPr>
        <w:t xml:space="preserve"> </w:t>
      </w:r>
    </w:p>
    <w:p w:rsidR="004415DD" w:rsidRPr="004415DD" w:rsidRDefault="004415DD" w:rsidP="004415DD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4415DD">
        <w:rPr>
          <w:rFonts w:ascii="黑体" w:eastAsia="黑体" w:hAnsi="黑体" w:hint="eastAsia"/>
          <w:sz w:val="28"/>
          <w:szCs w:val="28"/>
        </w:rPr>
        <w:t>肇庆学院区域国别研究院</w:t>
      </w:r>
      <w:r w:rsidRPr="004415DD">
        <w:rPr>
          <w:rFonts w:ascii="黑体" w:eastAsia="黑体" w:hAnsi="黑体"/>
          <w:sz w:val="28"/>
          <w:szCs w:val="28"/>
        </w:rPr>
        <w:t>2023年研究选题征集表</w:t>
      </w:r>
    </w:p>
    <w:p w:rsidR="004415DD" w:rsidRPr="000813BF" w:rsidRDefault="004415DD" w:rsidP="004415DD">
      <w:pPr>
        <w:rPr>
          <w:sz w:val="24"/>
          <w:szCs w:val="24"/>
        </w:rPr>
      </w:pPr>
      <w:r w:rsidRPr="000813BF"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</w:rPr>
        <w:t>：</w:t>
      </w:r>
      <w:r w:rsidRPr="000813BF">
        <w:rPr>
          <w:rFonts w:hint="eastAsia"/>
          <w:sz w:val="24"/>
          <w:szCs w:val="24"/>
        </w:rPr>
        <w:t>（盖章）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2693"/>
        <w:gridCol w:w="3481"/>
      </w:tblGrid>
      <w:tr w:rsidR="004415DD" w:rsidTr="00AF380F">
        <w:tc>
          <w:tcPr>
            <w:tcW w:w="1413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选题名称</w:t>
            </w: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选题必要性、可行性（3</w:t>
            </w:r>
            <w:r>
              <w:t>00</w:t>
            </w:r>
            <w:r>
              <w:rPr>
                <w:rFonts w:hint="eastAsia"/>
              </w:rPr>
              <w:t>字内）</w:t>
            </w:r>
          </w:p>
        </w:tc>
      </w:tr>
      <w:tr w:rsidR="004415DD" w:rsidTr="00AF380F">
        <w:tc>
          <w:tcPr>
            <w:tcW w:w="1413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3A0A77">
              <w:rPr>
                <w:rFonts w:hint="eastAsia"/>
                <w:b/>
                <w:bCs/>
              </w:rPr>
              <w:t>中东欧</w:t>
            </w:r>
          </w:p>
          <w:p w:rsidR="004415DD" w:rsidRPr="006940C8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文化与艺术</w:t>
            </w:r>
            <w:r w:rsidRPr="003A0A77"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E7220E">
              <w:rPr>
                <w:rFonts w:hint="eastAsia"/>
                <w:b/>
                <w:bCs/>
              </w:rPr>
              <w:t>澜湄区域</w:t>
            </w:r>
          </w:p>
          <w:p w:rsidR="004415DD" w:rsidRPr="00E7220E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E7220E"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 w:val="restart"/>
            <w:vAlign w:val="center"/>
          </w:tcPr>
          <w:p w:rsidR="004415DD" w:rsidRPr="00E7220E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E7220E">
              <w:rPr>
                <w:rFonts w:hint="eastAsia"/>
                <w:b/>
                <w:bCs/>
              </w:rPr>
              <w:t>东亚</w:t>
            </w:r>
          </w:p>
          <w:p w:rsidR="004415DD" w:rsidRDefault="004415DD" w:rsidP="00AF380F">
            <w:pPr>
              <w:spacing w:line="480" w:lineRule="auto"/>
              <w:jc w:val="center"/>
            </w:pPr>
            <w:r w:rsidRPr="00E7220E"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bookmarkStart w:id="1" w:name="_Hlk121995835"/>
            <w:r w:rsidRPr="00754D15">
              <w:rPr>
                <w:rFonts w:hint="eastAsia"/>
                <w:b/>
                <w:bCs/>
              </w:rPr>
              <w:t>马来西亚</w:t>
            </w:r>
          </w:p>
          <w:p w:rsidR="004415DD" w:rsidRPr="00754D15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754D15"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  <w:vAlign w:val="center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bookmarkEnd w:id="1"/>
      <w:tr w:rsidR="004415DD" w:rsidTr="00AF380F">
        <w:tc>
          <w:tcPr>
            <w:tcW w:w="1413" w:type="dxa"/>
            <w:vMerge w:val="restart"/>
            <w:vAlign w:val="center"/>
          </w:tcPr>
          <w:p w:rsidR="004415DD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基里巴斯</w:t>
            </w:r>
          </w:p>
          <w:p w:rsidR="004415DD" w:rsidRPr="00754D15" w:rsidRDefault="004415DD" w:rsidP="00AF380F">
            <w:pPr>
              <w:spacing w:line="480" w:lineRule="auto"/>
              <w:jc w:val="center"/>
              <w:rPr>
                <w:b/>
                <w:bCs/>
              </w:rPr>
            </w:pPr>
            <w:r w:rsidRPr="00754D15">
              <w:rPr>
                <w:rFonts w:hint="eastAsia"/>
                <w:b/>
                <w:bCs/>
              </w:rPr>
              <w:t>研究中心</w:t>
            </w: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1413" w:type="dxa"/>
            <w:vMerge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709" w:type="dxa"/>
          </w:tcPr>
          <w:p w:rsidR="004415DD" w:rsidRDefault="004415DD" w:rsidP="00AF380F">
            <w:pPr>
              <w:spacing w:line="480" w:lineRule="auto"/>
              <w:jc w:val="center"/>
            </w:pPr>
            <w:r>
              <w:t>…</w:t>
            </w:r>
          </w:p>
        </w:tc>
        <w:tc>
          <w:tcPr>
            <w:tcW w:w="2693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481" w:type="dxa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</w:tbl>
    <w:p w:rsidR="004415DD" w:rsidRDefault="004415DD" w:rsidP="004415DD">
      <w:pPr>
        <w:spacing w:line="360" w:lineRule="auto"/>
        <w:jc w:val="center"/>
      </w:pPr>
    </w:p>
    <w:p w:rsidR="004415DD" w:rsidRDefault="004415DD" w:rsidP="004415DD">
      <w:pPr>
        <w:spacing w:line="360" w:lineRule="auto"/>
        <w:jc w:val="center"/>
      </w:pPr>
    </w:p>
    <w:p w:rsidR="004415DD" w:rsidRDefault="004415DD" w:rsidP="004415DD">
      <w:pPr>
        <w:spacing w:line="360" w:lineRule="auto"/>
        <w:jc w:val="center"/>
      </w:pPr>
    </w:p>
    <w:p w:rsidR="004415DD" w:rsidRDefault="004415DD" w:rsidP="004415DD">
      <w:pPr>
        <w:spacing w:line="360" w:lineRule="auto"/>
      </w:pPr>
    </w:p>
    <w:p w:rsidR="004415DD" w:rsidRDefault="004415DD" w:rsidP="004415DD">
      <w:pPr>
        <w:rPr>
          <w:rFonts w:ascii="黑体" w:eastAsia="黑体" w:hAnsi="黑体"/>
          <w:sz w:val="28"/>
          <w:szCs w:val="28"/>
        </w:rPr>
      </w:pPr>
      <w:r w:rsidRPr="004415DD">
        <w:rPr>
          <w:rFonts w:ascii="黑体" w:eastAsia="黑体" w:hAnsi="黑体" w:hint="eastAsia"/>
          <w:sz w:val="28"/>
          <w:szCs w:val="28"/>
        </w:rPr>
        <w:t>附件</w:t>
      </w:r>
      <w:r w:rsidRPr="004415DD">
        <w:rPr>
          <w:rFonts w:ascii="黑体" w:eastAsia="黑体" w:hAnsi="黑体"/>
          <w:sz w:val="28"/>
          <w:szCs w:val="28"/>
        </w:rPr>
        <w:t>3</w:t>
      </w:r>
      <w:r>
        <w:rPr>
          <w:rFonts w:ascii="黑体" w:eastAsia="黑体" w:hAnsi="黑体"/>
          <w:sz w:val="28"/>
          <w:szCs w:val="28"/>
        </w:rPr>
        <w:t xml:space="preserve">  </w:t>
      </w:r>
    </w:p>
    <w:p w:rsidR="004415DD" w:rsidRPr="004415DD" w:rsidRDefault="004415DD" w:rsidP="004415DD">
      <w:pPr>
        <w:jc w:val="center"/>
        <w:rPr>
          <w:rFonts w:ascii="黑体" w:eastAsia="黑体" w:hAnsi="黑体"/>
          <w:sz w:val="28"/>
          <w:szCs w:val="28"/>
        </w:rPr>
      </w:pPr>
      <w:r w:rsidRPr="004415DD">
        <w:rPr>
          <w:rFonts w:ascii="黑体" w:eastAsia="黑体" w:hAnsi="黑体" w:hint="eastAsia"/>
          <w:sz w:val="28"/>
          <w:szCs w:val="28"/>
        </w:rPr>
        <w:t>肇庆学院粤西乡村振兴研究中心</w:t>
      </w:r>
      <w:r w:rsidRPr="004415DD">
        <w:rPr>
          <w:rFonts w:ascii="黑体" w:eastAsia="黑体" w:hAnsi="黑体"/>
          <w:sz w:val="28"/>
          <w:szCs w:val="28"/>
        </w:rPr>
        <w:t>2023年研究选题征集表</w:t>
      </w:r>
    </w:p>
    <w:p w:rsidR="004415DD" w:rsidRPr="000813BF" w:rsidRDefault="004415DD" w:rsidP="004415DD">
      <w:pPr>
        <w:rPr>
          <w:sz w:val="24"/>
          <w:szCs w:val="24"/>
        </w:rPr>
      </w:pPr>
      <w:r w:rsidRPr="000813BF">
        <w:rPr>
          <w:rFonts w:hint="eastAsia"/>
          <w:sz w:val="24"/>
          <w:szCs w:val="24"/>
        </w:rPr>
        <w:t>单位名称</w:t>
      </w:r>
      <w:r>
        <w:rPr>
          <w:rFonts w:hint="eastAsia"/>
          <w:sz w:val="24"/>
          <w:szCs w:val="24"/>
        </w:rPr>
        <w:t>：</w:t>
      </w:r>
      <w:r w:rsidRPr="000813BF">
        <w:rPr>
          <w:rFonts w:hint="eastAsia"/>
          <w:sz w:val="24"/>
          <w:szCs w:val="24"/>
        </w:rPr>
        <w:t>（盖章）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079"/>
        <w:gridCol w:w="1791"/>
        <w:gridCol w:w="5652"/>
      </w:tblGrid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选题名称</w:t>
            </w: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选题必要性、可行性（3</w:t>
            </w:r>
            <w:r>
              <w:t>00</w:t>
            </w:r>
            <w:r>
              <w:rPr>
                <w:rFonts w:hint="eastAsia"/>
              </w:rPr>
              <w:t>字内）</w:t>
            </w: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  <w:tr w:rsidR="004415DD" w:rsidTr="00AF380F">
        <w:tc>
          <w:tcPr>
            <w:tcW w:w="633" w:type="pct"/>
          </w:tcPr>
          <w:p w:rsidR="004415DD" w:rsidRDefault="004415DD" w:rsidP="00AF380F">
            <w:pPr>
              <w:spacing w:line="48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51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  <w:tc>
          <w:tcPr>
            <w:tcW w:w="3316" w:type="pct"/>
          </w:tcPr>
          <w:p w:rsidR="004415DD" w:rsidRDefault="004415DD" w:rsidP="00AF380F">
            <w:pPr>
              <w:spacing w:line="480" w:lineRule="auto"/>
              <w:jc w:val="center"/>
            </w:pPr>
          </w:p>
        </w:tc>
      </w:tr>
    </w:tbl>
    <w:p w:rsidR="004415DD" w:rsidRDefault="004415DD" w:rsidP="004415DD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A77FD5" w:rsidRPr="00A77FD5" w:rsidRDefault="00A77FD5"/>
    <w:sectPr w:rsidR="00A77FD5" w:rsidRPr="00A77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E2" w:rsidRDefault="00D55EE2" w:rsidP="001F4C47">
      <w:r>
        <w:separator/>
      </w:r>
    </w:p>
  </w:endnote>
  <w:endnote w:type="continuationSeparator" w:id="0">
    <w:p w:rsidR="00D55EE2" w:rsidRDefault="00D55EE2" w:rsidP="001F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E2" w:rsidRDefault="00D55EE2" w:rsidP="001F4C47">
      <w:r>
        <w:separator/>
      </w:r>
    </w:p>
  </w:footnote>
  <w:footnote w:type="continuationSeparator" w:id="0">
    <w:p w:rsidR="00D55EE2" w:rsidRDefault="00D55EE2" w:rsidP="001F4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82DA1"/>
    <w:multiLevelType w:val="hybridMultilevel"/>
    <w:tmpl w:val="7E120362"/>
    <w:lvl w:ilvl="0" w:tplc="3FFC2E8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3745DC"/>
    <w:multiLevelType w:val="hybridMultilevel"/>
    <w:tmpl w:val="6048FE68"/>
    <w:lvl w:ilvl="0" w:tplc="3D3EE3B0">
      <w:start w:val="1"/>
      <w:numFmt w:val="japaneseCounting"/>
      <w:lvlText w:val="（%1）"/>
      <w:lvlJc w:val="left"/>
      <w:pPr>
        <w:ind w:left="20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1C"/>
    <w:rsid w:val="0008632F"/>
    <w:rsid w:val="0017783F"/>
    <w:rsid w:val="001F4C47"/>
    <w:rsid w:val="0020205F"/>
    <w:rsid w:val="002D76AE"/>
    <w:rsid w:val="00346282"/>
    <w:rsid w:val="004415DD"/>
    <w:rsid w:val="00536D1C"/>
    <w:rsid w:val="00673344"/>
    <w:rsid w:val="00725E4D"/>
    <w:rsid w:val="008330AC"/>
    <w:rsid w:val="00A232C1"/>
    <w:rsid w:val="00A346DC"/>
    <w:rsid w:val="00A77FD5"/>
    <w:rsid w:val="00AD1CBA"/>
    <w:rsid w:val="00BA5444"/>
    <w:rsid w:val="00C11FC5"/>
    <w:rsid w:val="00D26B43"/>
    <w:rsid w:val="00D55EE2"/>
    <w:rsid w:val="00DA4438"/>
    <w:rsid w:val="00DB7C2B"/>
    <w:rsid w:val="00DC0984"/>
    <w:rsid w:val="00E0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C47"/>
    <w:rPr>
      <w:sz w:val="18"/>
      <w:szCs w:val="18"/>
    </w:rPr>
  </w:style>
  <w:style w:type="paragraph" w:styleId="a5">
    <w:name w:val="List Paragraph"/>
    <w:basedOn w:val="a"/>
    <w:uiPriority w:val="34"/>
    <w:qFormat/>
    <w:rsid w:val="00E01A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330AC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44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C4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C47"/>
    <w:rPr>
      <w:sz w:val="18"/>
      <w:szCs w:val="18"/>
    </w:rPr>
  </w:style>
  <w:style w:type="paragraph" w:styleId="a5">
    <w:name w:val="List Paragraph"/>
    <w:basedOn w:val="a"/>
    <w:uiPriority w:val="34"/>
    <w:qFormat/>
    <w:rsid w:val="00E01A1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330AC"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rsid w:val="00441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Micorosoft</cp:lastModifiedBy>
  <cp:revision>94</cp:revision>
  <dcterms:created xsi:type="dcterms:W3CDTF">2022-12-31T05:30:00Z</dcterms:created>
  <dcterms:modified xsi:type="dcterms:W3CDTF">2023-01-07T10:01:00Z</dcterms:modified>
</cp:coreProperties>
</file>